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00" w:afterAutospacing="1" w:line="1000" w:lineRule="exact"/>
        <w:jc w:val="center"/>
        <w:rPr>
          <w:rFonts w:ascii="宋体" w:hAnsi="宋体"/>
          <w:color w:val="FF0000"/>
          <w:sz w:val="40"/>
          <w:szCs w:val="40"/>
        </w:rPr>
      </w:pPr>
      <w:r>
        <w:rPr>
          <w:rFonts w:hint="eastAsia" w:ascii="宋体" w:hAnsi="宋体"/>
          <w:color w:val="FF0000"/>
          <w:sz w:val="40"/>
          <w:szCs w:val="40"/>
        </w:rPr>
        <w:t>中国人民政治协商会议山东省济南市委员会</w:t>
      </w:r>
    </w:p>
    <w:p>
      <w:pPr>
        <w:spacing w:after="100" w:afterAutospacing="1" w:line="1200" w:lineRule="exact"/>
        <w:jc w:val="center"/>
        <w:rPr>
          <w:rFonts w:ascii="宋体" w:hAnsi="宋体"/>
          <w:b/>
          <w:color w:val="FF0000"/>
          <w:sz w:val="84"/>
          <w:szCs w:val="84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提    案</w:t>
      </w:r>
    </w:p>
    <w:p>
      <w:pPr>
        <w:spacing w:after="100" w:afterAutospacing="1" w:line="400" w:lineRule="exact"/>
        <w:jc w:val="left"/>
        <w:rPr>
          <w:rFonts w:ascii="宋体" w:hAnsi="宋体"/>
          <w:b/>
          <w:color w:val="FF0000"/>
          <w:sz w:val="84"/>
          <w:szCs w:val="84"/>
        </w:rPr>
      </w:pPr>
      <w:r>
        <w:rPr>
          <w:rFonts w:hint="eastAsia" w:ascii="仿宋_GB2312" w:hAnsi="宋体" w:eastAsia="仿宋_GB2312"/>
          <w:color w:val="FF0000"/>
          <w:sz w:val="32"/>
          <w:szCs w:val="32"/>
        </w:rPr>
        <w:t>提案编号：1510191</w:t>
      </w:r>
    </w:p>
    <w:tbl>
      <w:tblPr>
        <w:tblStyle w:val="6"/>
        <w:tblW w:w="10188" w:type="dxa"/>
        <w:jc w:val="center"/>
        <w:tblInd w:w="599" w:type="dxa"/>
        <w:tblBorders>
          <w:top w:val="single" w:color="C00000" w:sz="4" w:space="0"/>
          <w:left w:val="single" w:color="C00000" w:sz="4" w:space="0"/>
          <w:bottom w:val="single" w:color="C00000" w:sz="4" w:space="0"/>
          <w:right w:val="single" w:color="C00000" w:sz="4" w:space="0"/>
          <w:insideH w:val="single" w:color="C00000" w:sz="4" w:space="0"/>
          <w:insideV w:val="single" w:color="C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6"/>
        <w:gridCol w:w="2013"/>
        <w:gridCol w:w="1588"/>
        <w:gridCol w:w="1502"/>
        <w:gridCol w:w="3449"/>
      </w:tblGrid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36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案  由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关于“打击非法黑油点，为政求稳、为民保安、为国聚财”的建议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Layout w:type="fixed"/>
        </w:tblPrEx>
        <w:trPr>
          <w:trHeight w:val="800" w:hRule="atLeast"/>
          <w:jc w:val="center"/>
        </w:trPr>
        <w:tc>
          <w:tcPr>
            <w:tcW w:w="1636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提案者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张群江</w:t>
            </w:r>
          </w:p>
        </w:tc>
        <w:tc>
          <w:tcPr>
            <w:tcW w:w="1588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工作单位</w:t>
            </w:r>
          </w:p>
        </w:tc>
        <w:tc>
          <w:tcPr>
            <w:tcW w:w="49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山东顺通石化有限公司董事长，济南总商会副会长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36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办公电话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/>
            </w:r>
          </w:p>
        </w:tc>
        <w:tc>
          <w:tcPr>
            <w:tcW w:w="1502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移动电话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15864780777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36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电子邮箱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/>
            </w:r>
          </w:p>
        </w:tc>
        <w:tc>
          <w:tcPr>
            <w:tcW w:w="1502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提</w:t>
            </w:r>
            <w:r>
              <w:rPr>
                <w:rFonts w:ascii="仿宋_GB2312" w:hAnsi="宋体" w:eastAsia="仿宋_GB2312"/>
                <w:color w:val="FF0000"/>
                <w:sz w:val="30"/>
                <w:szCs w:val="30"/>
              </w:rPr>
              <w:t>案内容是否公开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36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pacing w:val="-8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  <w:t>联名人</w:t>
            </w:r>
          </w:p>
        </w:tc>
        <w:tc>
          <w:tcPr>
            <w:tcW w:w="855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/>
            </w:r>
          </w:p>
        </w:tc>
      </w:tr>
    </w:tbl>
    <w:p>
      <w:pPr>
        <w:jc w:val="center"/>
        <w:rPr>
          <w:rFonts w:ascii="黑体" w:hAnsi="宋体" w:eastAsia="黑体"/>
          <w:color w:val="FF0000"/>
          <w:sz w:val="28"/>
          <w:szCs w:val="28"/>
        </w:rPr>
      </w:pPr>
    </w:p>
    <w:p>
      <w:pPr>
        <w:jc w:val="center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hAnsi="宋体" w:eastAsia="黑体"/>
          <w:color w:val="FF0000"/>
          <w:sz w:val="28"/>
          <w:szCs w:val="28"/>
        </w:rPr>
        <w:t>以下内容由提案审查机构填写</w:t>
      </w:r>
    </w:p>
    <w:tbl>
      <w:tblPr>
        <w:tblStyle w:val="6"/>
        <w:tblW w:w="10140" w:type="dxa"/>
        <w:jc w:val="center"/>
        <w:tblInd w:w="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1"/>
        <w:gridCol w:w="8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9" w:hRule="atLeast"/>
          <w:jc w:val="center"/>
        </w:trPr>
        <w:tc>
          <w:tcPr>
            <w:tcW w:w="1661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  <w:t>承办单位</w:t>
            </w:r>
          </w:p>
        </w:tc>
        <w:tc>
          <w:tcPr>
            <w:tcW w:w="8479" w:type="dxa"/>
            <w:tcBorders>
              <w:top w:val="single" w:color="C00000" w:sz="4" w:space="0"/>
              <w:left w:val="single" w:color="C00000" w:sz="4" w:space="0"/>
              <w:bottom w:val="single" w:color="C00000" w:sz="4" w:space="0"/>
              <w:right w:val="single" w:color="C00000" w:sz="4" w:space="0"/>
            </w:tcBorders>
            <w:vAlign w:val="center"/>
          </w:tcPr>
          <w:p>
            <w:pPr>
              <w:ind w:right="560"/>
              <w:jc w:val="both"/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  <w:lang w:val="en-US" w:eastAsia="zh-CN"/>
              </w:rPr>
              <w:t>市市场监督管理局主办      市公安局;市商务局;市城乡交通运输局;市应急管理局会办</w:t>
            </w:r>
            <w:bookmarkStart w:id="0" w:name="_GoBack"/>
            <w:bookmarkEnd w:id="0"/>
          </w:p>
        </w:tc>
      </w:tr>
    </w:tbl>
    <w:p>
      <w:pPr>
        <w:rPr>
          <w:vanish/>
          <w:color w:val="FF0000"/>
        </w:rPr>
      </w:pPr>
    </w:p>
    <w:p>
      <w:pPr>
        <w:rPr>
          <w:rFonts w:ascii="仿宋_GB2312" w:hAnsi="宋体" w:eastAsia="仿宋_GB2312"/>
          <w:color w:val="FF0000"/>
          <w:sz w:val="28"/>
          <w:szCs w:val="28"/>
        </w:rPr>
      </w:pPr>
    </w:p>
    <w:p>
      <w:pPr>
        <w:rPr>
          <w:rFonts w:ascii="仿宋_GB2312" w:hAnsi="宋体" w:eastAsia="仿宋_GB2312"/>
          <w:color w:val="FF0000"/>
          <w:sz w:val="28"/>
          <w:szCs w:val="28"/>
        </w:rPr>
      </w:pPr>
    </w:p>
    <w:p>
      <w:pPr>
        <w:rPr>
          <w:rFonts w:ascii="仿宋_GB2312" w:hAnsi="宋体" w:eastAsia="仿宋_GB2312"/>
          <w:color w:val="FF0000"/>
          <w:sz w:val="28"/>
          <w:szCs w:val="28"/>
        </w:rPr>
      </w:pPr>
    </w:p>
    <w:p>
      <w:pPr>
        <w:rPr>
          <w:rFonts w:ascii="仿宋_GB2312" w:hAnsi="宋体" w:eastAsia="仿宋_GB2312"/>
          <w:color w:val="FF0000"/>
          <w:sz w:val="28"/>
          <w:szCs w:val="28"/>
        </w:rPr>
      </w:pPr>
    </w:p>
    <w:p>
      <w:pPr>
        <w:rPr>
          <w:rFonts w:ascii="仿宋_GB2312" w:hAnsi="宋体" w:eastAsia="仿宋_GB2312"/>
          <w:color w:val="FF0000"/>
          <w:sz w:val="28"/>
          <w:szCs w:val="28"/>
        </w:rPr>
      </w:pPr>
    </w:p>
    <w:tbl>
      <w:tblPr>
        <w:tblStyle w:val="6"/>
        <w:tblW w:w="10188" w:type="dxa"/>
        <w:jc w:val="center"/>
        <w:tblInd w:w="599" w:type="dxa"/>
        <w:tblBorders>
          <w:top w:val="single" w:color="C00000" w:sz="4" w:space="0"/>
          <w:left w:val="single" w:color="C00000" w:sz="4" w:space="0"/>
          <w:bottom w:val="single" w:color="C00000" w:sz="4" w:space="0"/>
          <w:right w:val="single" w:color="C00000" w:sz="4" w:space="0"/>
          <w:insideH w:val="single" w:color="C00000" w:sz="4" w:space="0"/>
          <w:insideV w:val="single" w:color="C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7"/>
        <w:gridCol w:w="8411"/>
      </w:tblGrid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FF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FF0000"/>
                <w:sz w:val="30"/>
                <w:szCs w:val="30"/>
              </w:rPr>
              <w:t>提</w:t>
            </w:r>
            <w:r>
              <w:rPr>
                <w:rFonts w:ascii="黑体" w:hAnsi="黑体" w:eastAsia="黑体"/>
                <w:color w:val="FF0000"/>
                <w:sz w:val="30"/>
                <w:szCs w:val="30"/>
              </w:rPr>
              <w:t>案</w:t>
            </w:r>
            <w:r>
              <w:rPr>
                <w:rFonts w:hint="eastAsia" w:ascii="黑体" w:hAnsi="黑体" w:eastAsia="黑体"/>
                <w:color w:val="FF0000"/>
                <w:sz w:val="30"/>
                <w:szCs w:val="30"/>
              </w:rPr>
              <w:t>的</w:t>
            </w:r>
            <w:r>
              <w:rPr>
                <w:rFonts w:ascii="黑体" w:hAnsi="黑体" w:eastAsia="黑体"/>
                <w:color w:val="FF0000"/>
                <w:sz w:val="30"/>
                <w:szCs w:val="30"/>
              </w:rPr>
              <w:t>重点</w:t>
            </w:r>
            <w:r>
              <w:rPr>
                <w:rFonts w:hint="eastAsia" w:ascii="黑体" w:hAnsi="黑体" w:eastAsia="黑体"/>
                <w:color w:val="FF0000"/>
                <w:sz w:val="30"/>
                <w:szCs w:val="30"/>
              </w:rPr>
              <w:t>建议</w:t>
            </w:r>
            <w:r>
              <w:rPr>
                <w:rFonts w:ascii="黑体" w:hAnsi="黑体" w:eastAsia="黑体"/>
                <w:color w:val="FF0000"/>
                <w:sz w:val="30"/>
                <w:szCs w:val="30"/>
              </w:rPr>
              <w:t>清单</w:t>
            </w:r>
          </w:p>
        </w:tc>
        <w:tc>
          <w:tcPr>
            <w:tcW w:w="8411" w:type="dxa"/>
            <w:vAlign w:val="top"/>
          </w:tcPr>
          <w:p>
            <w:pPr>
              <w:spacing w:line="80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1.联合执法，形成合力，以扫黑除恶强大态势重拳出击，严禁出现“一抓就关，一松就现”，避免死灰复燃。</w:t>
            </w:r>
          </w:p>
          <w:p>
            <w:pPr>
              <w:spacing w:line="80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2.列入基层政府部门工作业绩考核，纪检监察部门严查执法过程中违法犯罪行为，扫除一切保护伞。</w:t>
            </w:r>
          </w:p>
          <w:p>
            <w:pPr>
              <w:spacing w:line="80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3.加强宣传，让市民了解黑油点的危害性，引导公众自觉抵制“黑油”。</w:t>
            </w:r>
          </w:p>
          <w:p>
            <w:pPr>
              <w:spacing w:line="80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4.广泛发动群众，举报重奖，形成露头即打的高压态势，打赢一场人民战争。</w:t>
            </w:r>
          </w:p>
        </w:tc>
      </w:tr>
      <w:tr>
        <w:tblPrEx>
          <w:tblBorders>
            <w:top w:val="single" w:color="C00000" w:sz="4" w:space="0"/>
            <w:left w:val="single" w:color="C00000" w:sz="4" w:space="0"/>
            <w:bottom w:val="single" w:color="C00000" w:sz="4" w:space="0"/>
            <w:right w:val="single" w:color="C00000" w:sz="4" w:space="0"/>
            <w:insideH w:val="single" w:color="C00000" w:sz="4" w:space="0"/>
            <w:insideV w:val="single" w:color="C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188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注：“提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案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的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重点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建议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清单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”是市政协进一步提高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提案质量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和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提案办理针对性的创新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实践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，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请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提案者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认真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梳理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您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提案中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的各项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建议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，筛选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出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1至2条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重点建议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或需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解决的重点问题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（每条限50字以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内），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便于承办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单位重点办理、增强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办理</w:t>
            </w: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实效。</w:t>
            </w:r>
          </w:p>
        </w:tc>
      </w:tr>
    </w:tbl>
    <w:p>
      <w:pPr>
        <w:rPr>
          <w:rFonts w:ascii="仿宋_GB2312" w:hAnsi="宋体" w:eastAsia="仿宋_GB2312"/>
          <w:color w:val="FF0000"/>
          <w:sz w:val="28"/>
          <w:szCs w:val="28"/>
        </w:rPr>
      </w:pPr>
    </w:p>
    <w:p/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Chars="200" w:firstLine="723"/>
        <w:jc w:val="center"/>
        <w:rPr>
          <w:rFonts w:asciiTheme="minorEastAsia" w:eastAsiaTheme="minorEastAsia" w:hAnsiTheme="minorEastAsia" w:cs="仿宋"/>
          <w:b/>
          <w:color w:val="000000"/>
          <w:sz w:val="36"/>
          <w:szCs w:val="36"/>
        </w:rPr>
      </w:pPr>
      <w:r w:rsidRPr="00EA134B">
        <w:rPr>
          <w:rFonts w:asciiTheme="minorEastAsia" w:eastAsiaTheme="minorEastAsia" w:hAnsiTheme="minorEastAsia" w:cs="仿宋" w:hint="eastAsia"/>
          <w:b/>
          <w:color w:val="000000"/>
          <w:sz w:val="36"/>
          <w:szCs w:val="36"/>
        </w:rPr>
        <w:t>关于“打击非法黑油点，为政求稳、为民保安、为国聚财”的建议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近几年来，市、区两级政府部门打击非法黑油点力度不断增强，取得显著效果，但隐蔽黑油点、流动售油车仍时有出现或间断非法经营。非法黑油点潜藏着极大的社会危害，且打击难度大，需综合整理、长期治理。</w:t>
      </w:r>
    </w:p>
    <w:p w:rsidR="0026070F" w:rsidRPr="00FD566C" w:rsidRDefault="0026070F" w:rsidP="00FD566C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FD566C">
        <w:rPr>
          <w:rFonts w:ascii="仿宋" w:eastAsia="仿宋" w:hAnsi="仿宋" w:cs="仿宋" w:hint="eastAsia"/>
          <w:color w:val="000000"/>
          <w:sz w:val="32"/>
          <w:szCs w:val="32"/>
        </w:rPr>
        <w:t>非法黑油点存在的危害：</w:t>
      </w:r>
    </w:p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一是给社会稳定及反恐工作带来一定不利因素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非法黑油点以盈利为目的，不像正规加油站能严格遵守相关规定，对售出的汽油进行身份及车牌登记。非法汽油的销售使不法分子有机可乘，极易被违法犯罪分子所利用，给社会稳定、公众安全及反恐工作带来恶劣影响。特别是中国共产党二十大将于下半年召开，社会稳定及安定工作更显其重要性。</w:t>
      </w:r>
    </w:p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二是给广大人民群众生命安全带来极大隐患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散装汽油的随意销售、存放，甚至是流动的小面包车、小轿车以“快递式服务”进入小区送售，使可燃性极高的汽油失去了管控，极易造成周边居住人群人身安全危害。黑油窝点、流动黑加油车设施简陋且没有任何消防安全防护设备，没有油气回收专业设备，安全隐患巨大，一旦发生火灾或爆炸将造成人员伤亡等严重后果。</w:t>
      </w:r>
    </w:p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三是对“碳中和”的推行带来不利影响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“黑油”大多是达不到国家标准要求的“非标油”，硫含量高于国标100-500倍，极易造成车辆燃油系统的损害，</w:t>
      </w: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超标排放对大气环境造成严重污染。</w:t>
      </w:r>
    </w:p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四是影响政府税收，破坏了健康的市场环境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黑油点没有正规加油站税控系统，通过逃避监管偷逃税收，给地方财政带来一定损失。同时非法黑油点的存在，严重扰乱了成品油市场经营秩序，对合法经营零售企业造成极大不公。</w:t>
      </w:r>
    </w:p>
    <w:p w:rsidR="0026070F" w:rsidRPr="00FD566C" w:rsidRDefault="0026070F" w:rsidP="00FD566C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FD566C">
        <w:rPr>
          <w:rFonts w:ascii="仿宋" w:eastAsia="仿宋" w:hAnsi="仿宋" w:cs="仿宋" w:hint="eastAsia"/>
          <w:color w:val="000000"/>
          <w:sz w:val="32"/>
          <w:szCs w:val="32"/>
        </w:rPr>
        <w:t>实施效果：</w:t>
      </w:r>
    </w:p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一可为政求稳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通过打击可避免汽油的失控管理，斩断违法犯罪分子的做案动机和机会，杜绝社会恶性事件的发生，为社会稳定做出贡献。</w:t>
      </w:r>
    </w:p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二可为民保安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通过打击可消除安全隐患，规避严重安全事故的发生，确保百姓一方平安。</w:t>
      </w:r>
    </w:p>
    <w:p w:rsidR="0026070F" w:rsidRPr="00EA134B" w:rsidRDefault="0026070F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三可为国聚财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通过打击可避免偷漏税，规范市场环境，为地方政府增加一笔可观财政收入。</w:t>
      </w:r>
    </w:p>
    <w:p w:rsidR="0026070F" w:rsidRPr="00FD566C" w:rsidRDefault="0026070F" w:rsidP="00FD566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D566C">
        <w:rPr>
          <w:rFonts w:ascii="仿宋" w:eastAsia="仿宋" w:hAnsi="仿宋" w:cs="仿宋" w:hint="eastAsia"/>
          <w:color w:val="000000"/>
          <w:sz w:val="30"/>
          <w:szCs w:val="30"/>
        </w:rPr>
        <w:t>几点建议：</w:t>
      </w:r>
    </w:p>
    <w:p w:rsidR="00EA134B" w:rsidRDefault="00EA134B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一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、</w:t>
      </w: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联合执法，形成合力，以扫黑除恶强大态势重拳出击，严禁出现“一抓就关，一松就现”，避免死灰复燃。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公安、安监、市场监管等多部门联动执法，形成“自流黑”整治的强大合力。以扫黑除恶的强大态势不遗不漏、重拳出击。基层单位主动承担属地管辖责任，各街道、村庄、各市场监管所落实包保责任制度，按区域对辖区内“黑油点”</w:t>
      </w: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进行拉网式、地毯式摸查。相关职能部门切实履行职能，各负其责，严禁出现“一抓就关，一松就现”，避免死灰复燃。</w:t>
      </w:r>
    </w:p>
    <w:p w:rsidR="00EA134B" w:rsidRDefault="00EA134B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二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、</w:t>
      </w: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列入基层政府部门工作业绩考核，纪检监察部门严查执法过程中违法犯罪行为，扫除一切保护伞。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为什么黑油点屡打仍存？致使其死灰复燃的原因在哪？个别执法人员有没有营私舞弊行为？有没有保护伞的存在？鉴于街道或村居(社区)是最了解本地情况的，也极容易掌握相关动态及线索，建议职能管理部门将打击非法黑油点列入基层政府部门工作考核，比如：街道出现非法黑油点举报次数超过3次可约谈街道办事处，3次以上纳入基层政府部门绩效考核，对基层政府部门实行网格化、区域块管理，以评分制对其进行综合评定。建议纪检监察部门介入，严查执法过程中推诿扯皮、不敢较真及违法犯罪行为，以打黑力度扫除一切保护伞，决不姑息。</w:t>
      </w:r>
    </w:p>
    <w:p w:rsidR="00EA134B" w:rsidRDefault="00EA134B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仿宋"/>
          <w:color w:val="000000"/>
          <w:sz w:val="32"/>
          <w:szCs w:val="32"/>
        </w:rPr>
      </w:pP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三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、</w:t>
      </w:r>
      <w:r w:rsidRPr="00EA134B">
        <w:rPr>
          <w:rFonts w:ascii="黑体" w:eastAsia="黑体" w:hAnsi="黑体" w:cs="仿宋" w:hint="eastAsia"/>
          <w:color w:val="000000"/>
          <w:sz w:val="32"/>
          <w:szCs w:val="32"/>
        </w:rPr>
        <w:t>加强宣传，让市民了解黑油点的危害性，引导公众自觉抵制“黑油”。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充分依托媒体，利用电视、报纸、网络及其它渠道多角度科普黑油点的危险及危害性，通过对比彰显正规加油站诚信经营、质优量足、绿色环保的形象，引导公众自觉抵制“黑油”，进一步推动成品油市场健康发展。</w:t>
      </w:r>
    </w:p>
    <w:p w:rsidR="00EA134B" w:rsidRDefault="00EA134B" w:rsidP="00EA134B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黑体" w:eastAsia="黑体" w:hAnsi="黑体" w:cs="仿宋"/>
          <w:color w:val="000000"/>
          <w:sz w:val="30"/>
          <w:szCs w:val="30"/>
        </w:rPr>
      </w:pPr>
      <w:r w:rsidRPr="00EA134B">
        <w:rPr>
          <w:rFonts w:ascii="黑体" w:eastAsia="黑体" w:hAnsi="黑体" w:cs="仿宋" w:hint="eastAsia"/>
          <w:color w:val="000000"/>
          <w:sz w:val="30"/>
          <w:szCs w:val="30"/>
        </w:rPr>
        <w:t>四</w:t>
      </w:r>
      <w:r>
        <w:rPr>
          <w:rFonts w:ascii="黑体" w:eastAsia="黑体" w:hAnsi="黑体" w:cs="仿宋" w:hint="eastAsia"/>
          <w:color w:val="000000"/>
          <w:sz w:val="30"/>
          <w:szCs w:val="30"/>
        </w:rPr>
        <w:t>、</w:t>
      </w:r>
      <w:r w:rsidRPr="00EA134B">
        <w:rPr>
          <w:rFonts w:ascii="黑体" w:eastAsia="黑体" w:hAnsi="黑体" w:cs="仿宋" w:hint="eastAsia"/>
          <w:color w:val="000000"/>
          <w:sz w:val="30"/>
          <w:szCs w:val="30"/>
        </w:rPr>
        <w:t>广泛发动群众，举报重奖，形成露头即打的高压态势，打赢一场人民战争。</w:t>
      </w:r>
    </w:p>
    <w:p w:rsidR="0026070F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在政府相关部门联合执法、形成执法合力的基础上，建议广泛发动群众，大力倡导、积极鼓励提供线索，举报重奖，</w:t>
      </w: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使违法犯罪行为无立足之地、无生存环境，形成露头即打的高压态势，做到防范于未然，以达到标本兼治之目的，打赢一场人民战争。</w:t>
      </w:r>
    </w:p>
    <w:p w:rsidR="005849E4" w:rsidRPr="00E76063" w:rsidRDefault="0026070F" w:rsidP="00E76063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E76063">
        <w:rPr>
          <w:rFonts w:ascii="仿宋" w:eastAsia="仿宋" w:hAnsi="仿宋" w:cs="仿宋" w:hint="eastAsia"/>
          <w:color w:val="000000"/>
          <w:sz w:val="32"/>
          <w:szCs w:val="32"/>
        </w:rPr>
        <w:t>打击非法黑油点是一项长期工作、一项综合工程，需要政府各部门联合执法，需要公众提高认知，需要正规加油站引导正向，需要通力合作打一场攻坚战。相信通过不懈努力，一定会清除黑油点，使社会安定，百姓平安，保护环境，营造良好的营商环境。</w:t>
      </w:r>
    </w:p>
    <w:sectPr w:rsidR="005849E4" w:rsidRPr="00E76063" w:rsidSect="00D958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05" w:rsidRDefault="005E3105" w:rsidP="0026070F">
      <w:r>
        <w:separator/>
      </w:r>
    </w:p>
  </w:endnote>
  <w:endnote w:type="continuationSeparator" w:id="0">
    <w:p w:rsidR="005E3105" w:rsidRDefault="005E3105" w:rsidP="0026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4658"/>
      <w:docPartObj>
        <w:docPartGallery w:val="Page Numbers (Bottom of Page)"/>
        <w:docPartUnique/>
      </w:docPartObj>
    </w:sdtPr>
    <w:sdtContent>
      <w:p w:rsidR="007A5EF4" w:rsidRDefault="00E34869">
        <w:pPr>
          <w:pStyle w:val="a5"/>
          <w:jc w:val="center"/>
        </w:pPr>
        <w:fldSimple w:instr=" PAGE   \* MERGEFORMAT ">
          <w:r w:rsidR="00FD566C" w:rsidRPr="00FD566C">
            <w:rPr>
              <w:noProof/>
              <w:lang w:val="zh-CN"/>
            </w:rPr>
            <w:t>4</w:t>
          </w:r>
        </w:fldSimple>
      </w:p>
    </w:sdtContent>
  </w:sdt>
  <w:p w:rsidR="007A5EF4" w:rsidRDefault="007A5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05" w:rsidRDefault="005E3105" w:rsidP="0026070F">
      <w:r>
        <w:separator/>
      </w:r>
    </w:p>
  </w:footnote>
  <w:footnote w:type="continuationSeparator" w:id="0">
    <w:p w:rsidR="005E3105" w:rsidRDefault="005E3105" w:rsidP="00260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FF0BA9"/>
    <w:rsid w:val="00071D66"/>
    <w:rsid w:val="0011797E"/>
    <w:rsid w:val="0026070F"/>
    <w:rsid w:val="002B1CEF"/>
    <w:rsid w:val="005849E4"/>
    <w:rsid w:val="005E3105"/>
    <w:rsid w:val="007A5EF4"/>
    <w:rsid w:val="007D7D88"/>
    <w:rsid w:val="007E3A90"/>
    <w:rsid w:val="00D95812"/>
    <w:rsid w:val="00E24956"/>
    <w:rsid w:val="00E34869"/>
    <w:rsid w:val="00E76063"/>
    <w:rsid w:val="00EA134B"/>
    <w:rsid w:val="00FA1429"/>
    <w:rsid w:val="00FD0193"/>
    <w:rsid w:val="00FD566C"/>
    <w:rsid w:val="39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8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8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26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070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6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70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1438</Characters>
  <Application>Microsoft Office Word</Application>
  <DocSecurity>0</DocSecurity>
  <Lines>11</Lines>
  <Paragraphs>3</Paragraphs>
  <ScaleCrop>false</ScaleCrop>
  <Company>济钢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2022-04-19T02:59:00Z</dcterms:created>
  <dcterms:modified xsi:type="dcterms:W3CDTF">2022-04-19T03:00:00Z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51FE9B70153345C697382B8EFAA19197</vt:lpwstr>
  </property>
</Properties>
</file>