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line="1000" w:lineRule="exact"/>
        <w:jc w:val="center"/>
        <w:rPr>
          <w:rFonts w:ascii="宋体" w:hAnsi="宋体"/>
          <w:color w:val="FF0000"/>
          <w:sz w:val="40"/>
          <w:szCs w:val="40"/>
        </w:rPr>
      </w:pPr>
      <w:r>
        <w:rPr>
          <w:rFonts w:hint="eastAsia" w:ascii="宋体" w:hAnsi="宋体"/>
          <w:color w:val="FF0000"/>
          <w:sz w:val="40"/>
          <w:szCs w:val="40"/>
        </w:rPr>
        <w:t>中国人民政治协商会议山东省济南市委员会</w:t>
      </w:r>
    </w:p>
    <w:p>
      <w:pPr>
        <w:spacing w:after="100" w:afterAutospacing="1" w:line="1200" w:lineRule="exact"/>
        <w:jc w:val="center"/>
        <w:rPr>
          <w:rFonts w:ascii="宋体" w:hAnsi="宋体"/>
          <w:b/>
          <w:color w:val="FF0000"/>
          <w:sz w:val="84"/>
          <w:szCs w:val="84"/>
        </w:rPr>
      </w:pPr>
      <w:r>
        <w:rPr>
          <w:rFonts w:hint="eastAsia" w:ascii="宋体" w:hAnsi="宋体"/>
          <w:b/>
          <w:color w:val="FF0000"/>
          <w:sz w:val="84"/>
          <w:szCs w:val="84"/>
        </w:rPr>
        <w:t>提    案</w:t>
      </w:r>
    </w:p>
    <w:p>
      <w:pPr>
        <w:spacing w:after="100" w:afterAutospacing="1" w:line="400" w:lineRule="exact"/>
        <w:jc w:val="left"/>
        <w:rPr>
          <w:rFonts w:ascii="宋体" w:hAnsi="宋体"/>
          <w:b/>
          <w:color w:val="FF0000"/>
          <w:sz w:val="84"/>
          <w:szCs w:val="84"/>
        </w:rPr>
      </w:pPr>
      <w:r>
        <w:rPr>
          <w:rFonts w:hint="eastAsia" w:ascii="仿宋_GB2312" w:hAnsi="宋体" w:eastAsia="仿宋_GB2312"/>
          <w:color w:val="FF0000"/>
          <w:sz w:val="32"/>
          <w:szCs w:val="32"/>
        </w:rPr>
        <w:t>提案编号：1510426</w:t>
      </w:r>
    </w:p>
    <w:tbl>
      <w:tblPr>
        <w:tblStyle w:val="6"/>
        <w:tblW w:w="10188" w:type="dxa"/>
        <w:jc w:val="center"/>
        <w:tblInd w:w="599"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CellMar>
          <w:left w:w="108" w:type="dxa"/>
          <w:right w:w="108" w:type="dxa"/>
        </w:tblCellMar>
      </w:tblPr>
      <w:tblGrid>
        <w:gridCol w:w="1636"/>
        <w:gridCol w:w="2013"/>
        <w:gridCol w:w="1588"/>
        <w:gridCol w:w="1502"/>
        <w:gridCol w:w="3449"/>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CellMar>
            <w:left w:w="108" w:type="dxa"/>
            <w:right w:w="108" w:type="dxa"/>
          </w:tblCellMar>
        </w:tblPrEx>
        <w:trPr>
          <w:trHeight w:val="800" w:hRule="atLeast"/>
          <w:jc w:val="center"/>
        </w:trPr>
        <w:tc>
          <w:tcPr>
            <w:tcW w:w="1636" w:type="dxa"/>
            <w:vAlign w:val="center"/>
          </w:tcPr>
          <w:p>
            <w:pPr>
              <w:rPr>
                <w:rFonts w:ascii="仿宋_GB2312" w:hAnsi="宋体" w:eastAsia="仿宋_GB2312"/>
                <w:color w:val="FF0000"/>
                <w:sz w:val="30"/>
                <w:szCs w:val="30"/>
              </w:rPr>
            </w:pPr>
            <w:r>
              <w:rPr>
                <w:rFonts w:hint="eastAsia" w:ascii="仿宋_GB2312" w:hAnsi="宋体" w:eastAsia="仿宋_GB2312"/>
                <w:color w:val="FF0000"/>
                <w:sz w:val="30"/>
                <w:szCs w:val="30"/>
              </w:rPr>
              <w:t>案  由</w:t>
            </w:r>
          </w:p>
        </w:tc>
        <w:tc>
          <w:tcPr>
            <w:tcW w:w="8552" w:type="dxa"/>
            <w:gridSpan w:val="4"/>
            <w:vAlign w:val="center"/>
          </w:tcPr>
          <w:p>
            <w:pPr>
              <w:rPr>
                <w:rFonts w:ascii="仿宋_GB2312" w:hAnsi="宋体" w:eastAsia="仿宋_GB2312"/>
                <w:color w:val="FF0000"/>
                <w:sz w:val="28"/>
                <w:szCs w:val="28"/>
              </w:rPr>
            </w:pPr>
            <w:r>
              <w:rPr>
                <w:rFonts w:hint="eastAsia" w:ascii="仿宋_GB2312" w:hAnsi="宋体" w:eastAsia="仿宋_GB2312"/>
                <w:color w:val="FF0000"/>
                <w:sz w:val="28"/>
                <w:szCs w:val="28"/>
              </w:rPr>
              <w:t>关于将药师纳入慢病管理体系，发挥慢病药物管理作用的建议</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PrEx>
        <w:trPr>
          <w:trHeight w:val="800" w:hRule="atLeast"/>
          <w:jc w:val="center"/>
        </w:trPr>
        <w:tc>
          <w:tcPr>
            <w:tcW w:w="1636" w:type="dxa"/>
            <w:vAlign w:val="center"/>
          </w:tcPr>
          <w:p>
            <w:pPr>
              <w:rPr>
                <w:rFonts w:ascii="仿宋_GB2312" w:hAnsi="宋体" w:eastAsia="仿宋_GB2312"/>
                <w:color w:val="FF0000"/>
                <w:sz w:val="30"/>
                <w:szCs w:val="30"/>
              </w:rPr>
            </w:pPr>
            <w:r>
              <w:rPr>
                <w:rFonts w:hint="eastAsia" w:ascii="仿宋_GB2312" w:hAnsi="宋体" w:eastAsia="仿宋_GB2312"/>
                <w:color w:val="FF0000"/>
                <w:sz w:val="30"/>
                <w:szCs w:val="30"/>
              </w:rPr>
              <w:t>提案者</w:t>
            </w:r>
          </w:p>
        </w:tc>
        <w:tc>
          <w:tcPr>
            <w:tcW w:w="2013" w:type="dxa"/>
            <w:vAlign w:val="center"/>
          </w:tcPr>
          <w:p>
            <w:pPr>
              <w:rPr>
                <w:rFonts w:ascii="仿宋_GB2312" w:hAnsi="宋体" w:eastAsia="仿宋_GB2312"/>
                <w:color w:val="FF0000"/>
                <w:sz w:val="28"/>
                <w:szCs w:val="28"/>
              </w:rPr>
            </w:pPr>
            <w:r>
              <w:rPr>
                <w:rFonts w:hint="eastAsia" w:ascii="仿宋_GB2312" w:hAnsi="宋体" w:eastAsia="仿宋_GB2312"/>
                <w:color w:val="FF0000"/>
                <w:sz w:val="28"/>
                <w:szCs w:val="28"/>
              </w:rPr>
              <w:t>吴记勇</w:t>
            </w:r>
          </w:p>
        </w:tc>
        <w:tc>
          <w:tcPr>
            <w:tcW w:w="1588" w:type="dxa"/>
            <w:vAlign w:val="center"/>
          </w:tcPr>
          <w:p>
            <w:pPr>
              <w:rPr>
                <w:rFonts w:ascii="仿宋_GB2312" w:hAnsi="宋体" w:eastAsia="仿宋_GB2312"/>
                <w:color w:val="FF0000"/>
                <w:sz w:val="30"/>
                <w:szCs w:val="30"/>
              </w:rPr>
            </w:pPr>
            <w:r>
              <w:rPr>
                <w:rFonts w:hint="eastAsia" w:ascii="仿宋_GB2312" w:hAnsi="宋体" w:eastAsia="仿宋_GB2312"/>
                <w:color w:val="FF0000"/>
                <w:sz w:val="30"/>
                <w:szCs w:val="30"/>
              </w:rPr>
              <w:t>工作单位</w:t>
            </w:r>
          </w:p>
        </w:tc>
        <w:tc>
          <w:tcPr>
            <w:tcW w:w="4951" w:type="dxa"/>
            <w:gridSpan w:val="2"/>
            <w:vAlign w:val="center"/>
          </w:tcPr>
          <w:p>
            <w:pPr>
              <w:rPr>
                <w:rFonts w:ascii="仿宋_GB2312" w:hAnsi="宋体" w:eastAsia="仿宋_GB2312"/>
                <w:color w:val="FF0000"/>
                <w:sz w:val="28"/>
                <w:szCs w:val="28"/>
              </w:rPr>
            </w:pPr>
            <w:r>
              <w:rPr>
                <w:rFonts w:hint="eastAsia" w:ascii="仿宋_GB2312" w:hAnsi="宋体" w:eastAsia="仿宋_GB2312"/>
                <w:color w:val="FF0000"/>
                <w:sz w:val="28"/>
                <w:szCs w:val="28"/>
              </w:rPr>
              <w:t>山东省第二人民医院药学部负责人，农工党市委会委员</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CellMar>
            <w:left w:w="108" w:type="dxa"/>
            <w:right w:w="108" w:type="dxa"/>
          </w:tblCellMar>
        </w:tblPrEx>
        <w:trPr>
          <w:trHeight w:val="800" w:hRule="atLeast"/>
          <w:jc w:val="center"/>
        </w:trPr>
        <w:tc>
          <w:tcPr>
            <w:tcW w:w="1636" w:type="dxa"/>
            <w:vAlign w:val="center"/>
          </w:tcPr>
          <w:p>
            <w:pPr>
              <w:rPr>
                <w:rFonts w:ascii="仿宋_GB2312" w:hAnsi="宋体" w:eastAsia="仿宋_GB2312"/>
                <w:color w:val="FF0000"/>
                <w:sz w:val="30"/>
                <w:szCs w:val="30"/>
              </w:rPr>
            </w:pPr>
            <w:r>
              <w:rPr>
                <w:rFonts w:hint="eastAsia" w:ascii="仿宋_GB2312" w:hAnsi="宋体" w:eastAsia="仿宋_GB2312"/>
                <w:color w:val="FF0000"/>
                <w:sz w:val="30"/>
                <w:szCs w:val="30"/>
              </w:rPr>
              <w:t>办公电话</w:t>
            </w:r>
          </w:p>
        </w:tc>
        <w:tc>
          <w:tcPr>
            <w:tcW w:w="3601" w:type="dxa"/>
            <w:gridSpan w:val="2"/>
            <w:vAlign w:val="center"/>
          </w:tcPr>
          <w:p>
            <w:pPr>
              <w:rPr>
                <w:rFonts w:ascii="仿宋_GB2312" w:hAnsi="宋体" w:eastAsia="仿宋_GB2312"/>
                <w:color w:val="FF0000"/>
                <w:sz w:val="28"/>
                <w:szCs w:val="28"/>
              </w:rPr>
            </w:pPr>
            <w:r>
              <w:rPr>
                <w:rFonts w:hint="eastAsia" w:ascii="仿宋_GB2312" w:hAnsi="宋体" w:eastAsia="仿宋_GB2312"/>
                <w:color w:val="FF0000"/>
                <w:sz w:val="28"/>
                <w:szCs w:val="28"/>
              </w:rPr>
              <w:t/>
            </w:r>
          </w:p>
        </w:tc>
        <w:tc>
          <w:tcPr>
            <w:tcW w:w="1502" w:type="dxa"/>
            <w:vAlign w:val="center"/>
          </w:tcPr>
          <w:p>
            <w:pPr>
              <w:rPr>
                <w:rFonts w:ascii="仿宋_GB2312" w:hAnsi="宋体" w:eastAsia="仿宋_GB2312"/>
                <w:color w:val="FF0000"/>
                <w:sz w:val="30"/>
                <w:szCs w:val="30"/>
              </w:rPr>
            </w:pPr>
            <w:r>
              <w:rPr>
                <w:rFonts w:hint="eastAsia" w:ascii="仿宋_GB2312" w:hAnsi="宋体" w:eastAsia="仿宋_GB2312"/>
                <w:color w:val="FF0000"/>
                <w:sz w:val="30"/>
                <w:szCs w:val="30"/>
              </w:rPr>
              <w:t>移动电话</w:t>
            </w:r>
          </w:p>
        </w:tc>
        <w:tc>
          <w:tcPr>
            <w:tcW w:w="3449" w:type="dxa"/>
            <w:vAlign w:val="center"/>
          </w:tcPr>
          <w:p>
            <w:pPr>
              <w:rPr>
                <w:rFonts w:ascii="仿宋_GB2312" w:hAnsi="宋体" w:eastAsia="仿宋_GB2312"/>
                <w:color w:val="FF0000"/>
                <w:sz w:val="28"/>
                <w:szCs w:val="28"/>
              </w:rPr>
            </w:pPr>
            <w:r>
              <w:rPr>
                <w:rFonts w:hint="eastAsia" w:ascii="仿宋_GB2312" w:hAnsi="宋体" w:eastAsia="仿宋_GB2312"/>
                <w:color w:val="FF0000"/>
                <w:sz w:val="28"/>
                <w:szCs w:val="28"/>
              </w:rPr>
              <w:t>13305417921</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CellMar>
            <w:left w:w="108" w:type="dxa"/>
            <w:right w:w="108" w:type="dxa"/>
          </w:tblCellMar>
        </w:tblPrEx>
        <w:trPr>
          <w:trHeight w:val="800" w:hRule="atLeast"/>
          <w:jc w:val="center"/>
        </w:trPr>
        <w:tc>
          <w:tcPr>
            <w:tcW w:w="1636" w:type="dxa"/>
            <w:vAlign w:val="center"/>
          </w:tcPr>
          <w:p>
            <w:pPr>
              <w:rPr>
                <w:rFonts w:ascii="仿宋_GB2312" w:hAnsi="宋体" w:eastAsia="仿宋_GB2312"/>
                <w:color w:val="FF0000"/>
                <w:sz w:val="30"/>
                <w:szCs w:val="30"/>
              </w:rPr>
            </w:pPr>
            <w:r>
              <w:rPr>
                <w:rFonts w:hint="eastAsia" w:ascii="仿宋_GB2312" w:hAnsi="宋体" w:eastAsia="仿宋_GB2312"/>
                <w:color w:val="FF0000"/>
                <w:sz w:val="30"/>
                <w:szCs w:val="30"/>
              </w:rPr>
              <w:t>电子邮箱</w:t>
            </w:r>
          </w:p>
        </w:tc>
        <w:tc>
          <w:tcPr>
            <w:tcW w:w="3601" w:type="dxa"/>
            <w:gridSpan w:val="2"/>
            <w:vAlign w:val="center"/>
          </w:tcPr>
          <w:p>
            <w:pPr>
              <w:rPr>
                <w:rFonts w:ascii="仿宋_GB2312" w:hAnsi="宋体" w:eastAsia="仿宋_GB2312"/>
                <w:color w:val="FF0000"/>
                <w:sz w:val="28"/>
                <w:szCs w:val="28"/>
              </w:rPr>
            </w:pPr>
            <w:r>
              <w:rPr>
                <w:rFonts w:hint="eastAsia" w:ascii="仿宋_GB2312" w:hAnsi="宋体" w:eastAsia="仿宋_GB2312"/>
                <w:color w:val="FF0000"/>
                <w:sz w:val="28"/>
                <w:szCs w:val="28"/>
              </w:rPr>
              <w:t/>
            </w:r>
          </w:p>
        </w:tc>
        <w:tc>
          <w:tcPr>
            <w:tcW w:w="1502" w:type="dxa"/>
            <w:vAlign w:val="center"/>
          </w:tcPr>
          <w:p>
            <w:pPr>
              <w:spacing w:line="400" w:lineRule="exact"/>
              <w:rPr>
                <w:rFonts w:ascii="仿宋_GB2312" w:hAnsi="宋体" w:eastAsia="仿宋_GB2312"/>
                <w:color w:val="FF0000"/>
                <w:sz w:val="30"/>
                <w:szCs w:val="30"/>
              </w:rPr>
            </w:pPr>
            <w:r>
              <w:rPr>
                <w:rFonts w:hint="eastAsia" w:ascii="仿宋_GB2312" w:hAnsi="宋体" w:eastAsia="仿宋_GB2312"/>
                <w:color w:val="FF0000"/>
                <w:sz w:val="30"/>
                <w:szCs w:val="30"/>
              </w:rPr>
              <w:t>提</w:t>
            </w:r>
            <w:r>
              <w:rPr>
                <w:rFonts w:ascii="仿宋_GB2312" w:hAnsi="宋体" w:eastAsia="仿宋_GB2312"/>
                <w:color w:val="FF0000"/>
                <w:sz w:val="30"/>
                <w:szCs w:val="30"/>
              </w:rPr>
              <w:t>案内容是否公开</w:t>
            </w:r>
          </w:p>
        </w:tc>
        <w:tc>
          <w:tcPr>
            <w:tcW w:w="3449" w:type="dxa"/>
            <w:vAlign w:val="center"/>
          </w:tcPr>
          <w:p>
            <w:pPr>
              <w:rPr>
                <w:rFonts w:ascii="仿宋_GB2312" w:hAnsi="宋体" w:eastAsia="仿宋_GB2312"/>
                <w:color w:val="FF0000"/>
                <w:sz w:val="28"/>
                <w:szCs w:val="28"/>
              </w:rPr>
            </w:pPr>
            <w:r>
              <w:rPr>
                <w:rFonts w:hint="eastAsia" w:ascii="仿宋_GB2312" w:hAnsi="宋体" w:eastAsia="仿宋_GB2312"/>
                <w:color w:val="FF0000"/>
                <w:sz w:val="28"/>
                <w:szCs w:val="28"/>
              </w:rPr>
              <w:t>否</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CellMar>
            <w:left w:w="108" w:type="dxa"/>
            <w:right w:w="108" w:type="dxa"/>
          </w:tblCellMar>
        </w:tblPrEx>
        <w:trPr>
          <w:trHeight w:val="1178" w:hRule="atLeast"/>
          <w:jc w:val="center"/>
        </w:trPr>
        <w:tc>
          <w:tcPr>
            <w:tcW w:w="1636" w:type="dxa"/>
            <w:vAlign w:val="center"/>
          </w:tcPr>
          <w:p>
            <w:pPr>
              <w:rPr>
                <w:rFonts w:ascii="仿宋_GB2312" w:hAnsi="宋体" w:eastAsia="仿宋_GB2312"/>
                <w:color w:val="FF0000"/>
                <w:spacing w:val="-8"/>
                <w:sz w:val="30"/>
                <w:szCs w:val="30"/>
              </w:rPr>
            </w:pPr>
            <w:r>
              <w:rPr>
                <w:rFonts w:hint="eastAsia" w:ascii="仿宋_GB2312" w:hAnsi="宋体" w:eastAsia="仿宋_GB2312"/>
                <w:color w:val="FF0000"/>
                <w:sz w:val="30"/>
                <w:szCs w:val="30"/>
              </w:rPr>
              <w:t>联名人</w:t>
            </w:r>
          </w:p>
        </w:tc>
        <w:tc>
          <w:tcPr>
            <w:tcW w:w="8552" w:type="dxa"/>
            <w:gridSpan w:val="4"/>
            <w:vAlign w:val="center"/>
          </w:tcPr>
          <w:p>
            <w:pPr>
              <w:rPr>
                <w:rFonts w:ascii="仿宋_GB2312" w:hAnsi="宋体" w:eastAsia="仿宋_GB2312"/>
                <w:color w:val="FF0000"/>
                <w:sz w:val="28"/>
                <w:szCs w:val="28"/>
              </w:rPr>
            </w:pPr>
            <w:r>
              <w:rPr>
                <w:rFonts w:hint="eastAsia" w:ascii="仿宋_GB2312" w:hAnsi="宋体" w:eastAsia="仿宋_GB2312"/>
                <w:color w:val="FF0000"/>
                <w:sz w:val="28"/>
                <w:szCs w:val="28"/>
              </w:rPr>
              <w:t/>
            </w:r>
          </w:p>
        </w:tc>
      </w:tr>
    </w:tbl>
    <w:p>
      <w:pPr>
        <w:jc w:val="center"/>
        <w:rPr>
          <w:rFonts w:ascii="黑体" w:hAnsi="宋体" w:eastAsia="黑体"/>
          <w:color w:val="FF0000"/>
          <w:sz w:val="28"/>
          <w:szCs w:val="28"/>
        </w:rPr>
      </w:pPr>
    </w:p>
    <w:p>
      <w:pPr>
        <w:jc w:val="center"/>
        <w:rPr>
          <w:rFonts w:ascii="黑体" w:hAnsi="宋体" w:eastAsia="黑体"/>
          <w:color w:val="FF0000"/>
          <w:sz w:val="28"/>
          <w:szCs w:val="28"/>
        </w:rPr>
      </w:pPr>
      <w:r>
        <w:rPr>
          <w:rFonts w:hint="eastAsia" w:ascii="黑体" w:hAnsi="宋体" w:eastAsia="黑体"/>
          <w:color w:val="FF0000"/>
          <w:sz w:val="28"/>
          <w:szCs w:val="28"/>
        </w:rPr>
        <w:t>以下内容由提案审查机构填写</w:t>
      </w:r>
    </w:p>
    <w:tbl>
      <w:tblPr>
        <w:tblStyle w:val="6"/>
        <w:tblW w:w="10140" w:type="dxa"/>
        <w:jc w:val="center"/>
        <w:tblInd w:w="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61"/>
        <w:gridCol w:w="8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29" w:hRule="atLeast"/>
          <w:jc w:val="center"/>
        </w:trPr>
        <w:tc>
          <w:tcPr>
            <w:tcW w:w="1661" w:type="dxa"/>
            <w:tcBorders>
              <w:top w:val="single" w:color="C00000" w:sz="4" w:space="0"/>
              <w:left w:val="single" w:color="C00000" w:sz="4" w:space="0"/>
              <w:bottom w:val="single" w:color="C00000" w:sz="4" w:space="0"/>
              <w:right w:val="single" w:color="C00000" w:sz="4" w:space="0"/>
            </w:tcBorders>
            <w:vAlign w:val="center"/>
          </w:tcPr>
          <w:p>
            <w:pPr>
              <w:jc w:val="center"/>
              <w:rPr>
                <w:rFonts w:hint="eastAsia" w:ascii="仿宋_GB2312" w:hAnsi="宋体" w:eastAsia="仿宋_GB2312"/>
                <w:color w:val="FF0000"/>
                <w:sz w:val="28"/>
                <w:szCs w:val="28"/>
                <w:lang w:val="en-US" w:eastAsia="zh-CN"/>
              </w:rPr>
            </w:pPr>
            <w:r>
              <w:rPr>
                <w:rFonts w:hint="eastAsia" w:ascii="仿宋_GB2312" w:hAnsi="宋体" w:eastAsia="仿宋_GB2312"/>
                <w:color w:val="FF0000"/>
                <w:sz w:val="28"/>
                <w:szCs w:val="28"/>
                <w:lang w:val="en-US" w:eastAsia="zh-CN"/>
              </w:rPr>
              <w:t>承办单位</w:t>
            </w:r>
          </w:p>
        </w:tc>
        <w:tc>
          <w:tcPr>
            <w:tcW w:w="8479" w:type="dxa"/>
            <w:tcBorders>
              <w:top w:val="single" w:color="C00000" w:sz="4" w:space="0"/>
              <w:left w:val="single" w:color="C00000" w:sz="4" w:space="0"/>
              <w:bottom w:val="single" w:color="C00000" w:sz="4" w:space="0"/>
              <w:right w:val="single" w:color="C00000" w:sz="4" w:space="0"/>
            </w:tcBorders>
            <w:vAlign w:val="center"/>
          </w:tcPr>
          <w:p>
            <w:pPr>
              <w:ind w:right="560"/>
              <w:jc w:val="both"/>
              <w:rPr>
                <w:rFonts w:hint="eastAsia" w:ascii="仿宋_GB2312" w:hAnsi="宋体" w:eastAsia="仿宋_GB2312"/>
                <w:color w:val="FF0000"/>
                <w:sz w:val="28"/>
                <w:szCs w:val="28"/>
                <w:lang w:val="en-US" w:eastAsia="zh-CN"/>
              </w:rPr>
            </w:pPr>
            <w:r>
              <w:rPr>
                <w:rFonts w:hint="eastAsia" w:ascii="仿宋_GB2312" w:hAnsi="宋体" w:eastAsia="仿宋_GB2312"/>
                <w:color w:val="FF0000"/>
                <w:sz w:val="28"/>
                <w:szCs w:val="28"/>
                <w:lang w:val="en-US" w:eastAsia="zh-CN"/>
              </w:rPr>
              <w:t>市市场监督管理局独办</w:t>
            </w:r>
            <w:bookmarkStart w:id="0" w:name="_GoBack"/>
            <w:bookmarkEnd w:id="0"/>
          </w:p>
        </w:tc>
      </w:tr>
    </w:tbl>
    <w:p>
      <w:pPr>
        <w:rPr>
          <w:vanish/>
          <w:color w:val="FF0000"/>
        </w:rPr>
      </w:pPr>
    </w:p>
    <w:p>
      <w:pPr>
        <w:rPr>
          <w:rFonts w:ascii="仿宋_GB2312" w:hAnsi="宋体" w:eastAsia="仿宋_GB2312"/>
          <w:color w:val="FF0000"/>
          <w:sz w:val="28"/>
          <w:szCs w:val="28"/>
        </w:rPr>
      </w:pPr>
    </w:p>
    <w:p>
      <w:pPr>
        <w:rPr>
          <w:rFonts w:ascii="仿宋_GB2312" w:hAnsi="宋体" w:eastAsia="仿宋_GB2312"/>
          <w:color w:val="FF0000"/>
          <w:sz w:val="28"/>
          <w:szCs w:val="28"/>
        </w:rPr>
      </w:pPr>
    </w:p>
    <w:p>
      <w:pPr>
        <w:rPr>
          <w:rFonts w:ascii="仿宋_GB2312" w:hAnsi="宋体" w:eastAsia="仿宋_GB2312"/>
          <w:color w:val="FF0000"/>
          <w:sz w:val="28"/>
          <w:szCs w:val="28"/>
        </w:rPr>
      </w:pPr>
    </w:p>
    <w:p>
      <w:pPr>
        <w:rPr>
          <w:rFonts w:ascii="仿宋_GB2312" w:hAnsi="宋体" w:eastAsia="仿宋_GB2312"/>
          <w:color w:val="FF0000"/>
          <w:sz w:val="28"/>
          <w:szCs w:val="28"/>
        </w:rPr>
      </w:pPr>
    </w:p>
    <w:p>
      <w:pPr>
        <w:rPr>
          <w:rFonts w:ascii="仿宋_GB2312" w:hAnsi="宋体" w:eastAsia="仿宋_GB2312"/>
          <w:color w:val="FF0000"/>
          <w:sz w:val="28"/>
          <w:szCs w:val="28"/>
        </w:rPr>
      </w:pPr>
    </w:p>
    <w:tbl>
      <w:tblPr>
        <w:tblStyle w:val="6"/>
        <w:tblW w:w="10188" w:type="dxa"/>
        <w:jc w:val="center"/>
        <w:tblInd w:w="599" w:type="dxa"/>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CellMar>
          <w:left w:w="108" w:type="dxa"/>
          <w:right w:w="108" w:type="dxa"/>
        </w:tblCellMar>
      </w:tblPr>
      <w:tblGrid>
        <w:gridCol w:w="1777"/>
        <w:gridCol w:w="8411"/>
      </w:tblGrid>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CellMar>
            <w:left w:w="108" w:type="dxa"/>
            <w:right w:w="108" w:type="dxa"/>
          </w:tblCellMar>
        </w:tblPrEx>
        <w:trPr>
          <w:trHeight w:val="2683" w:hRule="atLeast"/>
          <w:jc w:val="center"/>
        </w:trPr>
        <w:tc>
          <w:tcPr>
            <w:tcW w:w="1777" w:type="dxa"/>
            <w:vAlign w:val="center"/>
          </w:tcPr>
          <w:p>
            <w:pPr>
              <w:spacing w:line="400" w:lineRule="exact"/>
              <w:jc w:val="center"/>
              <w:rPr>
                <w:rFonts w:ascii="黑体" w:hAnsi="黑体" w:eastAsia="黑体"/>
                <w:color w:val="FF0000"/>
                <w:sz w:val="30"/>
                <w:szCs w:val="30"/>
              </w:rPr>
            </w:pPr>
            <w:r>
              <w:rPr>
                <w:rFonts w:hint="eastAsia" w:ascii="黑体" w:hAnsi="黑体" w:eastAsia="黑体"/>
                <w:color w:val="FF0000"/>
                <w:sz w:val="30"/>
                <w:szCs w:val="30"/>
              </w:rPr>
              <w:t>提</w:t>
            </w:r>
            <w:r>
              <w:rPr>
                <w:rFonts w:ascii="黑体" w:hAnsi="黑体" w:eastAsia="黑体"/>
                <w:color w:val="FF0000"/>
                <w:sz w:val="30"/>
                <w:szCs w:val="30"/>
              </w:rPr>
              <w:t>案</w:t>
            </w:r>
            <w:r>
              <w:rPr>
                <w:rFonts w:hint="eastAsia" w:ascii="黑体" w:hAnsi="黑体" w:eastAsia="黑体"/>
                <w:color w:val="FF0000"/>
                <w:sz w:val="30"/>
                <w:szCs w:val="30"/>
              </w:rPr>
              <w:t>的</w:t>
            </w:r>
            <w:r>
              <w:rPr>
                <w:rFonts w:ascii="黑体" w:hAnsi="黑体" w:eastAsia="黑体"/>
                <w:color w:val="FF0000"/>
                <w:sz w:val="30"/>
                <w:szCs w:val="30"/>
              </w:rPr>
              <w:t>重点</w:t>
            </w:r>
            <w:r>
              <w:rPr>
                <w:rFonts w:hint="eastAsia" w:ascii="黑体" w:hAnsi="黑体" w:eastAsia="黑体"/>
                <w:color w:val="FF0000"/>
                <w:sz w:val="30"/>
                <w:szCs w:val="30"/>
              </w:rPr>
              <w:t>建议</w:t>
            </w:r>
            <w:r>
              <w:rPr>
                <w:rFonts w:ascii="黑体" w:hAnsi="黑体" w:eastAsia="黑体"/>
                <w:color w:val="FF0000"/>
                <w:sz w:val="30"/>
                <w:szCs w:val="30"/>
              </w:rPr>
              <w:t>清单</w:t>
            </w:r>
          </w:p>
        </w:tc>
        <w:tc>
          <w:tcPr>
            <w:tcW w:w="8411" w:type="dxa"/>
            <w:vAlign w:val="top"/>
          </w:tcPr>
          <w:p>
            <w:pPr>
              <w:spacing w:line="800" w:lineRule="exact"/>
              <w:rPr>
                <w:rFonts w:ascii="仿宋_GB2312" w:hAnsi="宋体" w:eastAsia="仿宋_GB2312"/>
                <w:color w:val="FF0000"/>
                <w:sz w:val="28"/>
                <w:szCs w:val="28"/>
              </w:rPr>
            </w:pPr>
            <w:r>
              <w:rPr>
                <w:rFonts w:hint="eastAsia" w:ascii="仿宋_GB2312" w:hAnsi="宋体" w:eastAsia="仿宋_GB2312"/>
                <w:color w:val="FF0000"/>
                <w:sz w:val="28"/>
                <w:szCs w:val="28"/>
              </w:rPr>
              <w:t>1.明确药师在慢病管理体系中的角色定位，将药师纳入慢病用药管理体系</w:t>
            </w:r>
          </w:p>
          <w:p>
            <w:pPr>
              <w:spacing w:line="800" w:lineRule="exact"/>
              <w:rPr>
                <w:rFonts w:ascii="仿宋_GB2312" w:hAnsi="宋体" w:eastAsia="仿宋_GB2312"/>
                <w:color w:val="FF0000"/>
                <w:sz w:val="28"/>
                <w:szCs w:val="28"/>
              </w:rPr>
            </w:pPr>
            <w:r>
              <w:rPr>
                <w:rFonts w:hint="eastAsia" w:ascii="仿宋_GB2312" w:hAnsi="宋体" w:eastAsia="仿宋_GB2312"/>
                <w:color w:val="FF0000"/>
                <w:sz w:val="28"/>
                <w:szCs w:val="28"/>
              </w:rPr>
              <w:t>2.充分发挥药师在慢病药物管理中的具体作用</w:t>
            </w:r>
          </w:p>
        </w:tc>
      </w:tr>
      <w:tr>
        <w:tblPrEx>
          <w:tblBorders>
            <w:top w:val="single" w:color="C00000" w:sz="4" w:space="0"/>
            <w:left w:val="single" w:color="C00000" w:sz="4" w:space="0"/>
            <w:bottom w:val="single" w:color="C00000" w:sz="4" w:space="0"/>
            <w:right w:val="single" w:color="C00000" w:sz="4" w:space="0"/>
            <w:insideH w:val="single" w:color="C00000" w:sz="4" w:space="0"/>
            <w:insideV w:val="single" w:color="C00000" w:sz="4" w:space="0"/>
          </w:tblBorders>
          <w:tblLayout w:type="fixed"/>
          <w:tblCellMar>
            <w:left w:w="108" w:type="dxa"/>
            <w:right w:w="108" w:type="dxa"/>
          </w:tblCellMar>
        </w:tblPrEx>
        <w:trPr>
          <w:trHeight w:val="695" w:hRule="atLeast"/>
          <w:jc w:val="center"/>
        </w:trPr>
        <w:tc>
          <w:tcPr>
            <w:tcW w:w="10188" w:type="dxa"/>
            <w:gridSpan w:val="2"/>
            <w:vAlign w:val="top"/>
          </w:tcPr>
          <w:p>
            <w:pPr>
              <w:spacing w:line="400" w:lineRule="exact"/>
              <w:jc w:val="left"/>
              <w:rPr>
                <w:rFonts w:ascii="仿宋_GB2312" w:hAnsi="宋体" w:eastAsia="仿宋_GB2312"/>
                <w:color w:val="FF0000"/>
                <w:sz w:val="28"/>
                <w:szCs w:val="28"/>
              </w:rPr>
            </w:pPr>
            <w:r>
              <w:rPr>
                <w:rFonts w:hint="eastAsia" w:ascii="黑体" w:hAnsi="黑体" w:eastAsia="黑体"/>
                <w:color w:val="FF0000"/>
                <w:sz w:val="28"/>
                <w:szCs w:val="28"/>
              </w:rPr>
              <w:t>注：“提</w:t>
            </w:r>
            <w:r>
              <w:rPr>
                <w:rFonts w:ascii="黑体" w:hAnsi="黑体" w:eastAsia="黑体"/>
                <w:color w:val="FF0000"/>
                <w:sz w:val="28"/>
                <w:szCs w:val="28"/>
              </w:rPr>
              <w:t>案</w:t>
            </w:r>
            <w:r>
              <w:rPr>
                <w:rFonts w:hint="eastAsia" w:ascii="黑体" w:hAnsi="黑体" w:eastAsia="黑体"/>
                <w:color w:val="FF0000"/>
                <w:sz w:val="28"/>
                <w:szCs w:val="28"/>
              </w:rPr>
              <w:t>的</w:t>
            </w:r>
            <w:r>
              <w:rPr>
                <w:rFonts w:ascii="黑体" w:hAnsi="黑体" w:eastAsia="黑体"/>
                <w:color w:val="FF0000"/>
                <w:sz w:val="28"/>
                <w:szCs w:val="28"/>
              </w:rPr>
              <w:t>重点</w:t>
            </w:r>
            <w:r>
              <w:rPr>
                <w:rFonts w:hint="eastAsia" w:ascii="黑体" w:hAnsi="黑体" w:eastAsia="黑体"/>
                <w:color w:val="FF0000"/>
                <w:sz w:val="28"/>
                <w:szCs w:val="28"/>
              </w:rPr>
              <w:t>建议</w:t>
            </w:r>
            <w:r>
              <w:rPr>
                <w:rFonts w:ascii="黑体" w:hAnsi="黑体" w:eastAsia="黑体"/>
                <w:color w:val="FF0000"/>
                <w:sz w:val="28"/>
                <w:szCs w:val="28"/>
              </w:rPr>
              <w:t>清单</w:t>
            </w:r>
            <w:r>
              <w:rPr>
                <w:rFonts w:hint="eastAsia" w:ascii="黑体" w:hAnsi="黑体" w:eastAsia="黑体"/>
                <w:color w:val="FF0000"/>
                <w:sz w:val="28"/>
                <w:szCs w:val="28"/>
              </w:rPr>
              <w:t>”是市政协进一步提高</w:t>
            </w:r>
            <w:r>
              <w:rPr>
                <w:rFonts w:ascii="黑体" w:hAnsi="黑体" w:eastAsia="黑体"/>
                <w:color w:val="FF0000"/>
                <w:sz w:val="28"/>
                <w:szCs w:val="28"/>
              </w:rPr>
              <w:t>提案质量</w:t>
            </w:r>
            <w:r>
              <w:rPr>
                <w:rFonts w:hint="eastAsia" w:ascii="黑体" w:hAnsi="黑体" w:eastAsia="黑体"/>
                <w:color w:val="FF0000"/>
                <w:sz w:val="28"/>
                <w:szCs w:val="28"/>
              </w:rPr>
              <w:t>和</w:t>
            </w:r>
            <w:r>
              <w:rPr>
                <w:rFonts w:ascii="黑体" w:hAnsi="黑体" w:eastAsia="黑体"/>
                <w:color w:val="FF0000"/>
                <w:sz w:val="28"/>
                <w:szCs w:val="28"/>
              </w:rPr>
              <w:t>提案办理针对性的创新</w:t>
            </w:r>
            <w:r>
              <w:rPr>
                <w:rFonts w:hint="eastAsia" w:ascii="黑体" w:hAnsi="黑体" w:eastAsia="黑体"/>
                <w:color w:val="FF0000"/>
                <w:sz w:val="28"/>
                <w:szCs w:val="28"/>
              </w:rPr>
              <w:t>实践</w:t>
            </w:r>
            <w:r>
              <w:rPr>
                <w:rFonts w:ascii="黑体" w:hAnsi="黑体" w:eastAsia="黑体"/>
                <w:color w:val="FF0000"/>
                <w:sz w:val="28"/>
                <w:szCs w:val="28"/>
              </w:rPr>
              <w:t>，</w:t>
            </w:r>
            <w:r>
              <w:rPr>
                <w:rFonts w:hint="eastAsia" w:ascii="黑体" w:hAnsi="黑体" w:eastAsia="黑体"/>
                <w:color w:val="FF0000"/>
                <w:sz w:val="28"/>
                <w:szCs w:val="28"/>
              </w:rPr>
              <w:t>请</w:t>
            </w:r>
            <w:r>
              <w:rPr>
                <w:rFonts w:ascii="黑体" w:hAnsi="黑体" w:eastAsia="黑体"/>
                <w:color w:val="FF0000"/>
                <w:sz w:val="28"/>
                <w:szCs w:val="28"/>
              </w:rPr>
              <w:t>提案者</w:t>
            </w:r>
            <w:r>
              <w:rPr>
                <w:rFonts w:hint="eastAsia" w:ascii="黑体" w:hAnsi="黑体" w:eastAsia="黑体"/>
                <w:color w:val="FF0000"/>
                <w:sz w:val="28"/>
                <w:szCs w:val="28"/>
              </w:rPr>
              <w:t>认真</w:t>
            </w:r>
            <w:r>
              <w:rPr>
                <w:rFonts w:ascii="黑体" w:hAnsi="黑体" w:eastAsia="黑体"/>
                <w:color w:val="FF0000"/>
                <w:sz w:val="28"/>
                <w:szCs w:val="28"/>
              </w:rPr>
              <w:t>梳理</w:t>
            </w:r>
            <w:r>
              <w:rPr>
                <w:rFonts w:hint="eastAsia" w:ascii="黑体" w:hAnsi="黑体" w:eastAsia="黑体"/>
                <w:color w:val="FF0000"/>
                <w:sz w:val="28"/>
                <w:szCs w:val="28"/>
              </w:rPr>
              <w:t>您</w:t>
            </w:r>
            <w:r>
              <w:rPr>
                <w:rFonts w:ascii="黑体" w:hAnsi="黑体" w:eastAsia="黑体"/>
                <w:color w:val="FF0000"/>
                <w:sz w:val="28"/>
                <w:szCs w:val="28"/>
              </w:rPr>
              <w:t>提案中</w:t>
            </w:r>
            <w:r>
              <w:rPr>
                <w:rFonts w:hint="eastAsia" w:ascii="黑体" w:hAnsi="黑体" w:eastAsia="黑体"/>
                <w:color w:val="FF0000"/>
                <w:sz w:val="28"/>
                <w:szCs w:val="28"/>
              </w:rPr>
              <w:t>的各项</w:t>
            </w:r>
            <w:r>
              <w:rPr>
                <w:rFonts w:ascii="黑体" w:hAnsi="黑体" w:eastAsia="黑体"/>
                <w:color w:val="FF0000"/>
                <w:sz w:val="28"/>
                <w:szCs w:val="28"/>
              </w:rPr>
              <w:t>建议</w:t>
            </w:r>
            <w:r>
              <w:rPr>
                <w:rFonts w:hint="eastAsia" w:ascii="黑体" w:hAnsi="黑体" w:eastAsia="黑体"/>
                <w:color w:val="FF0000"/>
                <w:sz w:val="28"/>
                <w:szCs w:val="28"/>
              </w:rPr>
              <w:t>，筛选</w:t>
            </w:r>
            <w:r>
              <w:rPr>
                <w:rFonts w:ascii="黑体" w:hAnsi="黑体" w:eastAsia="黑体"/>
                <w:color w:val="FF0000"/>
                <w:sz w:val="28"/>
                <w:szCs w:val="28"/>
              </w:rPr>
              <w:t>出</w:t>
            </w:r>
            <w:r>
              <w:rPr>
                <w:rFonts w:hint="eastAsia" w:ascii="黑体" w:hAnsi="黑体" w:eastAsia="黑体"/>
                <w:color w:val="FF0000"/>
                <w:sz w:val="28"/>
                <w:szCs w:val="28"/>
              </w:rPr>
              <w:t>1至2条</w:t>
            </w:r>
            <w:r>
              <w:rPr>
                <w:rFonts w:ascii="黑体" w:hAnsi="黑体" w:eastAsia="黑体"/>
                <w:color w:val="FF0000"/>
                <w:sz w:val="28"/>
                <w:szCs w:val="28"/>
              </w:rPr>
              <w:t>重点建议</w:t>
            </w:r>
            <w:r>
              <w:rPr>
                <w:rFonts w:hint="eastAsia" w:ascii="黑体" w:hAnsi="黑体" w:eastAsia="黑体"/>
                <w:color w:val="FF0000"/>
                <w:sz w:val="28"/>
                <w:szCs w:val="28"/>
              </w:rPr>
              <w:t>或需</w:t>
            </w:r>
            <w:r>
              <w:rPr>
                <w:rFonts w:ascii="黑体" w:hAnsi="黑体" w:eastAsia="黑体"/>
                <w:color w:val="FF0000"/>
                <w:sz w:val="28"/>
                <w:szCs w:val="28"/>
              </w:rPr>
              <w:t>解决的重点问题</w:t>
            </w:r>
            <w:r>
              <w:rPr>
                <w:rFonts w:hint="eastAsia" w:ascii="黑体" w:hAnsi="黑体" w:eastAsia="黑体"/>
                <w:color w:val="FF0000"/>
                <w:sz w:val="28"/>
                <w:szCs w:val="28"/>
              </w:rPr>
              <w:t>（每条限50字以</w:t>
            </w:r>
            <w:r>
              <w:rPr>
                <w:rFonts w:ascii="黑体" w:hAnsi="黑体" w:eastAsia="黑体"/>
                <w:color w:val="FF0000"/>
                <w:sz w:val="28"/>
                <w:szCs w:val="28"/>
              </w:rPr>
              <w:t>内），</w:t>
            </w:r>
            <w:r>
              <w:rPr>
                <w:rFonts w:hint="eastAsia" w:ascii="黑体" w:hAnsi="黑体" w:eastAsia="黑体"/>
                <w:color w:val="FF0000"/>
                <w:sz w:val="28"/>
                <w:szCs w:val="28"/>
              </w:rPr>
              <w:t>便于承办</w:t>
            </w:r>
            <w:r>
              <w:rPr>
                <w:rFonts w:ascii="黑体" w:hAnsi="黑体" w:eastAsia="黑体"/>
                <w:color w:val="FF0000"/>
                <w:sz w:val="28"/>
                <w:szCs w:val="28"/>
              </w:rPr>
              <w:t>单位重点办理、增强</w:t>
            </w:r>
            <w:r>
              <w:rPr>
                <w:rFonts w:hint="eastAsia" w:ascii="黑体" w:hAnsi="黑体" w:eastAsia="黑体"/>
                <w:color w:val="FF0000"/>
                <w:sz w:val="28"/>
                <w:szCs w:val="28"/>
              </w:rPr>
              <w:t>办理</w:t>
            </w:r>
            <w:r>
              <w:rPr>
                <w:rFonts w:ascii="黑体" w:hAnsi="黑体" w:eastAsia="黑体"/>
                <w:color w:val="FF0000"/>
                <w:sz w:val="28"/>
                <w:szCs w:val="28"/>
              </w:rPr>
              <w:t>实效。</w:t>
            </w:r>
          </w:p>
        </w:tc>
      </w:tr>
    </w:tbl>
    <w:p>
      <w:pPr>
        <w:rPr>
          <w:rFonts w:ascii="仿宋_GB2312" w:hAnsi="宋体" w:eastAsia="仿宋_GB2312"/>
          <w:color w:val="FF0000"/>
          <w:sz w:val="28"/>
          <w:szCs w:val="28"/>
        </w:rPr>
      </w:pPr>
    </w:p>
    <w:p/>
    <w:p>
      <w:pPr>
        <w:rPr>
          <w:rFonts w:ascii="仿宋_GB2312" w:hAnsi="宋体" w:eastAsia="仿宋_GB2312"/>
          <w:color w:val="FF0000"/>
          <w:sz w:val="28"/>
          <w:szCs w:val="28"/>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关于将药师纳入慢病管理体系</w:t>
      </w:r>
      <w:bookmarkStart w:id="0" w:name="_GoBack"/>
      <w:bookmarkEnd w:id="0"/>
      <w:r>
        <w:rPr>
          <w:rFonts w:hint="eastAsia" w:asciiTheme="majorEastAsia" w:hAnsiTheme="majorEastAsia" w:eastAsiaTheme="majorEastAsia"/>
          <w:b/>
          <w:sz w:val="36"/>
          <w:szCs w:val="36"/>
        </w:rPr>
        <w:t>发挥慢病药物管理作用的建议</w:t>
      </w:r>
    </w:p>
    <w:p>
      <w:pPr>
        <w:spacing w:line="560" w:lineRule="exact"/>
        <w:ind w:firstLine="640" w:firstLineChars="200"/>
        <w:jc w:val="left"/>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山东省“十四五”卫生与健康规划》提出，“加强基于社区人群的重大慢病干预研究”、“应对人口老龄化等重点难点问题，加强政策研究和理论创新”。也鉴于我省人口老龄化程度加深及疾病谱变化等因素，慢病患者的用药需求日益增多，如何更好地保障慢病患者的安全合理、科学规范用药需求，是亟待解决的重要现实问题。而药师作为慢病管理中重要一员，尚未在慢病管理体系中充分发挥作用。</w:t>
      </w:r>
    </w:p>
    <w:p>
      <w:pPr>
        <w:spacing w:line="560" w:lineRule="exact"/>
        <w:ind w:firstLine="640" w:firstLineChars="200"/>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一、存在的问题及原因分析</w:t>
      </w:r>
    </w:p>
    <w:p>
      <w:pPr>
        <w:spacing w:line="560" w:lineRule="exact"/>
        <w:ind w:firstLine="640" w:firstLineChars="200"/>
        <w:jc w:val="left"/>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1）药师的角色和作用在整个慢病管理体系中不清晰药师在人们的印象中，似乎只是从事简单的药品采购、销售、仓储管理等保障药品供应的工作。相较于医师而言，药师和药学服务对公众来说还比较陌生，药师在慢病健康宣教和慢病用药管理方面发挥的作用还未能被广大群众深入了解和认可。如何在慢病管理规划中明确广大药师的地位和作用，强化药师在慢病患者健康教育、药学科普、用药服务、医嘱调整、不良反应监测和药物依从性方面专业作用，是一项有着深远意义的工作。</w:t>
      </w:r>
    </w:p>
    <w:p>
      <w:pPr>
        <w:spacing w:line="560" w:lineRule="exact"/>
        <w:ind w:firstLine="640" w:firstLineChars="200"/>
        <w:jc w:val="left"/>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2）慢病管理人员配置严重不足，甚至出现医疗资源挤兑现象传统的慢病管理模式中，慢病患者在治疗过程中主要涉及药品选择与使用，患者在寻医问药过程中，往往首选到医疗机构需求医生帮助。综合时间、精力、经济、医疗资源等方面的考虑，慢病患者就诊面临“三长一短”的痛点，即挂号时间长、候诊时间长、取药时间长、就诊时间短，也加重了医院服务压力。其实，许多慢性疾病患者不需要也没必要随时跑医院，特别是常规的高血压、高血糖、高血脂等慢病占据了大医院本就紧张的医疗资源，甚至会挤兑医疗资源。同时由于医务人员配置不足，从事慢病管理的人员少、任务繁重，慢病管理常流于形式、缺乏深入探索。各医疗机构、社区诊所、社会药店的广大药师，是一个人数众多的专业队伍，分布在药品管理的各个环节，可以作为参与慢病管理的重要一员，作为临床医生的好帮手，弥补慢病管理人员不足的问题。（3）慢病管理中用药宣教及用药管理的问题突出用药宣教和药学服务是慢病管理中一个非常重要和主要的问题。由于年龄因素和疾病特点，慢病患者很容易盲信一些健康消费欺诈、夸大或虚假宣传的保健品、药品广告。或因缺乏医学常识，或病急乱投医，不仅钱财受损，而且延误了最佳治疗时机。同时患者在慢病用药监护方面得不到充分的服务和关注，经常造成用药不当、剂量不准、随意换药、停药等诸多的不合理用药问题。慢病患者对自身疾病并不充分了解，又不熟悉所服用药物的药理作用，随着用药时间的延长，服药的依从性会大幅下降。此外，由于慢病的治疗过程时间较长，患者在长期用药过程需要建立疾病管理档案，特别是治疗药物监测记录，由于缺乏专业药师参与，往往存在只简单登记记录，没有详细个体化的用药分析，患者在长期用药过程出现的用药相关问题得不到及时帮助和解决。（4）基层药学服务人员不足且服务能力有待提高社区卫生服务机构作为慢病管理的毛细血管网，是承担慢病管理的主要执行者，应承担起慢病预防、保健、医疗、康复、健康教育等多项工作；由于社区卫生服务能力不足，社区资源配置不够，特别是社区药学服务人员缺乏，基层药师专业服务水平参差不齐，阻碍药师在基层慢病管理主阵地中发挥重要作用。</w:t>
      </w:r>
    </w:p>
    <w:p>
      <w:pPr>
        <w:spacing w:line="560" w:lineRule="exact"/>
        <w:ind w:firstLine="640" w:firstLineChars="200"/>
        <w:jc w:val="left"/>
        <w:rPr>
          <w:rFonts w:ascii="黑体" w:hAnsi="黑体" w:eastAsia="黑体"/>
          <w:sz w:val="32"/>
          <w:szCs w:val="32"/>
          <w:shd w:val="clear" w:color="auto" w:fill="FFFFFF"/>
        </w:rPr>
      </w:pPr>
      <w:r>
        <w:rPr>
          <w:rFonts w:hint="eastAsia" w:ascii="黑体" w:hAnsi="黑体" w:eastAsia="黑体"/>
          <w:sz w:val="32"/>
          <w:szCs w:val="32"/>
          <w:shd w:val="clear" w:color="auto" w:fill="FFFFFF"/>
        </w:rPr>
        <w:t>二、意见和建议</w:t>
      </w:r>
    </w:p>
    <w:p>
      <w:pPr>
        <w:spacing w:line="560" w:lineRule="exact"/>
        <w:ind w:firstLine="640" w:firstLineChars="200"/>
        <w:jc w:val="left"/>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1）明确药师在慢病管理体系中的角色定位，将药师纳入慢病用药管理的体系中首先要通过正面宣传，使人们更好了解认识药师职业身份、工作内容、专业价值，了解药师在慢病合理用药方面的服务能力。要对药师参与下慢病管理取得的效益和成果进行广泛宣传，让公众和社会进一步了解药师作为患者用药把关第一人的重要作用。要进一步明确药师在慢病患者管理中具体定位，细化广大药师在慢病管理中的科普教育、药物管理、药学监护方式等各个领域具体作用及管理路径，将药师纳入长程的药物治疗各个环节中去。</w:t>
      </w:r>
    </w:p>
    <w:p>
      <w:pPr>
        <w:spacing w:line="560" w:lineRule="exact"/>
        <w:ind w:firstLine="640" w:firstLineChars="200"/>
        <w:jc w:val="left"/>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2）充分发挥药师在慢病药物管理中的具体作用慢病患者主要为老年患者，而老年人由于生理功能、代谢和形态等方面发生了一定改变，如身体内器官重量、水分含量、骨骼、血清白蛋白含量等均下降，尤其是药物的重要代谢器官如肝、肾功能下降，导致药物毒副反应以及相互作用影响增加。因此加强合理用药的宣教具有重要意义。对于长期从事药学工作的药师来说，对疾病诊疗发展状况，药物的药理毒理、用法用量、适应症、不良反应及药物的相互作用等有比较系统的了解，有能力向慢病患者宣传合理用药知识，减少药源性疾病的发生。在慢病药物管理中，药师还可通过药物咨询，药学门诊、特殊装置药物的使用指导，系统介绍药物治疗目标及正确用药方式，提高患者自我用药管理能力；此外，药师还可通过提供全程化药学服务，包括合理选择药物、不良反应监测等，解答患者的用药困惑，以及如何选择、贮藏和使用常备药物，避免或减少患者因用药误区所造成的伤害。药师也可以参与到患者的认知、行为和心理层面的管理中去。干预慢病相关危险因素如吸烟、有害饮酒、缺少运动、不健康饮食等。研究表明专业的药学科普宣教可有效提高慢病的知晓率、管理率、控制率和患者用药依从性。（3）探索建立药师医联体慢病管理模式，加强社区管理药师队伍建设鼓励建立贯穿三级医院到社区医院的医联体药事服务网络，共建医共体处方前置审核，点评模式，构建信息化支撑体系、完善实施多层级的居家药学服务。同时优化医联体慢病药品目录，使社区慢病配备的药品更加科学、合理、充分，为慢病治疗提供优质药品保障。为社区药学人员编写系列慢病管理的教材，进行系统培训，建立一支专业的社区慢病药师服务队伍，积极参与到社区慢病防控工作中。同时结合已开展的社区家庭医生制服务模式，将家庭医生制服务模式中单一诊疗转变为家庭医生和药师服务团队配合诊疗的模式，以精准的医学知识，精细的药学服务，更好地为广大慢病患者服务。</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wOTE4NWM2ZGE1OTM1ZWY4Y2FiMDIyOGI4M2QwNzkifQ=="/>
  </w:docVars>
  <w:rsids>
    <w:rsidRoot w:val="00B070F7"/>
    <w:rsid w:val="000B2C13"/>
    <w:rsid w:val="000B2C67"/>
    <w:rsid w:val="001B1485"/>
    <w:rsid w:val="001C63B2"/>
    <w:rsid w:val="0025372D"/>
    <w:rsid w:val="002A76FB"/>
    <w:rsid w:val="002E79C0"/>
    <w:rsid w:val="002F285F"/>
    <w:rsid w:val="003A4B57"/>
    <w:rsid w:val="004A1262"/>
    <w:rsid w:val="004A5457"/>
    <w:rsid w:val="005003FE"/>
    <w:rsid w:val="00503D35"/>
    <w:rsid w:val="005072D7"/>
    <w:rsid w:val="005130E8"/>
    <w:rsid w:val="00544325"/>
    <w:rsid w:val="00627E42"/>
    <w:rsid w:val="00675E5D"/>
    <w:rsid w:val="0068716C"/>
    <w:rsid w:val="00691235"/>
    <w:rsid w:val="006A423A"/>
    <w:rsid w:val="007257E6"/>
    <w:rsid w:val="00767929"/>
    <w:rsid w:val="00791D79"/>
    <w:rsid w:val="00847A8D"/>
    <w:rsid w:val="00876452"/>
    <w:rsid w:val="008A211F"/>
    <w:rsid w:val="00932AA0"/>
    <w:rsid w:val="009C7880"/>
    <w:rsid w:val="00A82E76"/>
    <w:rsid w:val="00B061C8"/>
    <w:rsid w:val="00B070F7"/>
    <w:rsid w:val="00B35140"/>
    <w:rsid w:val="00DB5EBC"/>
    <w:rsid w:val="00E55069"/>
    <w:rsid w:val="00E649A7"/>
    <w:rsid w:val="00EC5AAC"/>
    <w:rsid w:val="00F26334"/>
    <w:rsid w:val="23ED6846"/>
    <w:rsid w:val="3D0B6210"/>
    <w:rsid w:val="4AE90BCF"/>
    <w:rsid w:val="521B7EE6"/>
    <w:rsid w:val="5DA25A42"/>
    <w:rsid w:val="6B751930"/>
    <w:rsid w:val="6E0A3294"/>
    <w:rsid w:val="7E073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link w:val="3"/>
    <w:qFormat/>
    <w:uiPriority w:val="99"/>
    <w:rPr>
      <w:kern w:val="2"/>
      <w:sz w:val="18"/>
      <w:szCs w:val="18"/>
    </w:rPr>
  </w:style>
  <w:style w:type="character" w:customStyle="1" w:styleId="9">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深度技术论坛</Company>
  <Pages>6</Pages>
  <Words>2648</Words>
  <Characters>2667</Characters>
  <Lines>16</Lines>
  <Paragraphs>4</Paragraphs>
  <TotalTime>4</TotalTime>
  <ScaleCrop>false</ScaleCrop>
  <LinksUpToDate>false</LinksUpToDate>
  <CharactersWithSpaces>2673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2022-04-18T07:27:00Z</dcterms:created>
  <dc:creator>市政协提案委员会办公室</dc:creator>
  <cp:lastModifiedBy>王妍</cp:lastModifiedBy>
  <cp:lastPrinted>2019-12-03T02:48:00Z</cp:lastPrinted>
  <dcterms:modified xsi:type="dcterms:W3CDTF">2022-05-30T03:44:11Z</dcterms:modified>
  <dc:title>中国人民政治协商会议山东省济南市委员会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E3FE9060E17C49CF8BE6694DF888F602</vt:lpwstr>
  </property>
</Properties>
</file>